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jc w:val="center"/>
      </w:pPr>
      <w:r>
        <w:rPr>
          <w:rFonts w:ascii="Arial" w:cs="Arial" w:eastAsia="Arial" w:hAnsi="Arial"/>
          <w:b/>
          <w:bCs/>
          <w:color w:val="C133FF"/>
          <w:sz w:val="28"/>
          <w:szCs w:val="28"/>
        </w:rPr>
        <w:t xml:space="preserve">HURACÁN STUDIOS LLC</w:t>
      </w:r>
    </w:p>
    <w:p>
      <w:pPr>
        <w:spacing w:before="200"/>
        <w:jc w:val="center"/>
      </w:pPr>
      <w:r>
        <w:rPr>
          <w:rFonts w:ascii="Arial" w:cs="Arial" w:eastAsia="Arial" w:hAnsi="Arial"/>
          <w:i/>
          <w:iCs/>
          <w:color w:val="333333"/>
          <w:sz w:val="22"/>
          <w:szCs w:val="22"/>
        </w:rPr>
        <w:t xml:space="preserve">Documento Técnico</w:t>
      </w:r>
    </w:p>
    <w:p>
      <w:pPr>
        <w:spacing w:before="600"/>
        <w:jc w:val="center"/>
      </w:pPr>
      <w:r>
        <w:rPr>
          <w:rFonts w:ascii="Arial" w:cs="Arial" w:eastAsia="Arial" w:hAnsi="Arial"/>
          <w:b/>
          <w:bCs/>
          <w:color w:val="1A1A2E"/>
          <w:sz w:val="44"/>
          <w:szCs w:val="44"/>
        </w:rPr>
        <w:t xml:space="preserve">Página Web o Aplicación Web:</w:t>
      </w:r>
    </w:p>
    <w:p>
      <w:pPr>
        <w:jc w:val="center"/>
      </w:pPr>
      <w:r>
        <w:rPr>
          <w:rFonts w:ascii="Arial" w:cs="Arial" w:eastAsia="Arial" w:hAnsi="Arial"/>
          <w:b/>
          <w:bCs/>
          <w:color w:val="1A1A2E"/>
          <w:sz w:val="44"/>
          <w:szCs w:val="44"/>
        </w:rPr>
        <w:t xml:space="preserve">¿Cuál necesita su organización?</w:t>
      </w:r>
    </w:p>
    <w:p>
      <w:pPr>
        <w:spacing w:before="400"/>
        <w:jc w:val="center"/>
      </w:pPr>
      <w:r>
        <w:rPr>
          <w:rFonts w:ascii="Arial" w:cs="Arial" w:eastAsia="Arial" w:hAnsi="Arial"/>
          <w:color w:val="333333"/>
          <w:sz w:val="24"/>
          <w:szCs w:val="24"/>
        </w:rPr>
        <w:t xml:space="preserve">Una guía basada en datos para líderes, gerentes y tomadores de decisiones</w:t>
      </w:r>
    </w:p>
    <w:p>
      <w:pPr>
        <w:spacing w:before="1200"/>
        <w:jc w:val="center"/>
      </w:pPr>
      <w:r>
        <w:rPr>
          <w:rFonts w:ascii="Arial" w:cs="Arial" w:eastAsia="Arial" w:hAnsi="Arial"/>
          <w:color w:val="333333"/>
          <w:sz w:val="22"/>
          <w:szCs w:val="22"/>
        </w:rPr>
        <w:t xml:space="preserve">Publicado: marzo de 2026</w:t>
      </w:r>
    </w:p>
    <w:p>
      <w:pPr>
        <w:jc w:val="center"/>
      </w:pPr>
      <w:r>
        <w:rPr>
          <w:rFonts w:ascii="Arial" w:cs="Arial" w:eastAsia="Arial" w:hAnsi="Arial"/>
          <w:color w:val="C133FF"/>
          <w:sz w:val="22"/>
          <w:szCs w:val="22"/>
        </w:rPr>
        <w:t xml:space="preserve">huracanstudiosllc.com</w:t>
      </w:r>
    </w:p>
    <w:p>
      <w:r>
        <w:br w:type="page"/>
      </w:r>
    </w:p>
    <w:p>
      <w:pPr>
        <w:sectPr>
          <w:pgSz w:w="12240" w:h="15840" w:orient="portrait"/>
          <w:pgMar w:top="1440" w:right="1440" w:bottom="1440" w:left="1440" w:header="708" w:footer="708" w:gutter="0"/>
          <w:pgNumType/>
          <w:docGrid w:linePitch="360"/>
        </w:sectPr>
      </w:pPr>
    </w:p>
    <w:p>
      <w:pPr>
        <w:pStyle w:val="Heading1"/>
        <w:spacing w:before="360" w:after="200"/>
      </w:pPr>
      <w:r>
        <w:rPr>
          <w:rFonts w:ascii="Arial" w:cs="Arial" w:eastAsia="Arial" w:hAnsi="Arial"/>
          <w:b/>
          <w:bCs/>
          <w:color w:val="1A1A2E"/>
          <w:sz w:val="32"/>
          <w:szCs w:val="32"/>
        </w:rPr>
        <w:t xml:space="preserve">Tabla de Contenido</w:t>
      </w:r>
    </w:p>
    <w:p>
      <w:r>
        <w:t>1. Introducción: La Encrucijada Digital</w:t>
      </w:r>
    </w:p>
    <w:p>
      <w:r>
        <w:t>2. Entendiendo la Diferencia</w:t>
      </w:r>
    </w:p>
    <w:p>
      <w:r>
        <w:t>2.1 ¿Qué es una Página Web?</w:t>
      </w:r>
    </w:p>
    <w:p>
      <w:r>
        <w:t>2.2 ¿Qué es una Aplicación Web?</w:t>
      </w:r>
    </w:p>
    <w:p>
      <w:r>
        <w:t>2.3 Comparación Lado a Lado</w:t>
      </w:r>
    </w:p>
    <w:p>
      <w:r>
        <w:t>3. Los Números: Por Qué Importa Su Presencia Digital</w:t>
      </w:r>
    </w:p>
    <w:p>
      <w:r>
        <w:t>3.1 Credibilidad y Primeras Impresiones</w:t>
      </w:r>
    </w:p>
    <w:p>
      <w:r>
        <w:t>3.2 Uso Móvil</w:t>
      </w:r>
    </w:p>
    <w:p>
      <w:r>
        <w:t>3.3 Crecimiento Empresarial</w:t>
      </w:r>
    </w:p>
    <w:p>
      <w:r>
        <w:t>3.4 Puntos de Referencia de Conversión</w:t>
      </w:r>
    </w:p>
    <w:p>
      <w:r>
        <w:t>4. Análisis por Sector</w:t>
      </w:r>
    </w:p>
    <w:p>
      <w:r>
        <w:t>4.1 Salud</w:t>
      </w:r>
    </w:p>
    <w:p>
      <w:r>
        <w:t>4.2 Educación</w:t>
      </w:r>
    </w:p>
    <w:p>
      <w:r>
        <w:t>4.3 Contratistas del Gobierno</w:t>
      </w:r>
    </w:p>
    <w:p>
      <w:r>
        <w:t>4.4 Organizaciones Sin Fines de Lucro</w:t>
      </w:r>
    </w:p>
    <w:p>
      <w:r>
        <w:t>4.5 Servicios Profesionales</w:t>
      </w:r>
    </w:p>
    <w:p>
      <w:r>
        <w:t>4.6 SaaS y Tecnología</w:t>
      </w:r>
    </w:p>
    <w:p>
      <w:r>
        <w:t>4.7 Ventas y Comercio Electrónico</w:t>
      </w:r>
    </w:p>
    <w:p>
      <w:r>
        <w:t>5. El Enfoque Híbrido: Cuando Necesita Ambas</w:t>
      </w:r>
    </w:p>
    <w:p>
      <w:r>
        <w:t>5.1 Patrones Híbridos Comunes</w:t>
      </w:r>
    </w:p>
    <w:p>
      <w:r>
        <w:t>5.2 Cuándo Comenzar con una Página Web y Crecer Hacia una App</w:t>
      </w:r>
    </w:p>
    <w:p>
      <w:r>
        <w:t>6. Marco de Decisión: Cinco Preguntas para Guiar Su Elección</w:t>
      </w:r>
    </w:p>
    <w:p>
      <w:r>
        <w:t>7. Una Nota Sobre Accesibilidad</w:t>
      </w:r>
    </w:p>
    <w:p>
      <w:r>
        <w:t>8. Conclusión</w:t>
      </w:r>
    </w:p>
    <w:p>
      <w:r>
        <w:t>Referencias</w:t>
      </w:r>
    </w:p>
    <w:sdt>
      <w:sdtPr>
        <w:alias w:val="Tabla de Contenido"/>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200"/>
      </w:pPr>
      <w:r>
        <w:rPr>
          <w:rFonts w:ascii="Arial" w:cs="Arial" w:eastAsia="Arial" w:hAnsi="Arial"/>
          <w:b/>
          <w:bCs/>
          <w:color w:val="1A1A2E"/>
          <w:sz w:val="32"/>
          <w:szCs w:val="32"/>
        </w:rPr>
        <w:t xml:space="preserve">1. Introducción: La Encrucijada Digital</w:t>
      </w:r>
    </w:p>
    <w:p>
      <w:pPr>
        <w:spacing w:after="160" w:line="300"/>
      </w:pPr>
      <w:r>
        <w:rPr>
          <w:rFonts w:ascii="Arial" w:cs="Arial" w:eastAsia="Arial" w:hAnsi="Arial"/>
          <w:color w:val="333333"/>
          <w:sz w:val="22"/>
          <w:szCs w:val="22"/>
        </w:rPr>
        <w:t xml:space="preserve">En el panorama digital de hoy, tener presencia en línea ya no es opcional. Aproximadamente el 73% de los pequeños negocios en Estados Unidos tienen una página web, pero alrededor de uno de cada cuatro todavía no la tiene (Zippia, 2023). Para las organizaciones que ya están en línea, muchas ahora se hacen una pregunta crítica: ¿necesitamos una página web, una aplicación web, o ambas?</w:t>
      </w:r>
    </w:p>
    <w:p>
      <w:pPr>
        <w:spacing w:after="160" w:line="300"/>
      </w:pPr>
      <w:r>
        <w:rPr>
          <w:rFonts w:ascii="Arial" w:cs="Arial" w:eastAsia="Arial" w:hAnsi="Arial"/>
          <w:color w:val="333333"/>
          <w:sz w:val="22"/>
          <w:szCs w:val="22"/>
        </w:rPr>
        <w:t xml:space="preserve">Esta pregunta importa más de lo que parece. Elegir el tipo incorrecto de presencia digital puede significar presupuesto desperdiciado, oportunidades perdidas y una mala experiencia para su audiencia. Una organización sin fines de lucro que solo necesita una página web podría gastar de más en funcionalidades de aplicación que nunca usará. Un proveedor de salud que solo construye una página básica podría perder la oportunidad de ofrecer portales de pacientes que mejoran los resultados y la satisfacción.</w:t>
      </w:r>
    </w:p>
    <w:p>
      <w:pPr>
        <w:spacing w:after="160" w:line="300"/>
      </w:pPr>
      <w:r>
        <w:rPr>
          <w:rFonts w:ascii="Arial" w:cs="Arial" w:eastAsia="Arial" w:hAnsi="Arial"/>
          <w:color w:val="333333"/>
          <w:sz w:val="22"/>
          <w:szCs w:val="22"/>
        </w:rPr>
        <w:t xml:space="preserve">Este documento desglosa las diferencias entre páginas web y aplicaciones web en lenguaje claro, presenta recomendaciones por sector respaldadas por datos actuales, y le ofrece un marco de decisión práctico para determinar qué enfoque se ajusta a su organización.</w:t>
      </w:r>
    </w:p>
    <w:p>
      <w:pPr>
        <w:pBdr>
          <w:top w:val="single" w:color="C133FF" w:sz="2"/>
          <w:bottom w:val="single" w:color="C133FF" w:sz="2"/>
        </w:pBdr>
        <w:spacing w:before="200" w:after="200"/>
        <w:jc w:val="center"/>
      </w:pPr>
      <w:r>
        <w:rPr>
          <w:rFonts w:ascii="Arial" w:cs="Arial" w:eastAsia="Arial" w:hAnsi="Arial"/>
          <w:b/>
          <w:bCs/>
          <w:color w:val="C133FF"/>
          <w:sz w:val="24"/>
          <w:szCs w:val="24"/>
        </w:rPr>
        <w:t xml:space="preserve">El 81% de los consumidores investiga un negocio en línea antes de hacer una compra. (Forbes, 2024)</w:t>
      </w:r>
    </w:p>
    <w:p>
      <w:r>
        <w:br w:type="page"/>
      </w:r>
    </w:p>
    <w:p>
      <w:pPr>
        <w:pStyle w:val="Heading1"/>
        <w:spacing w:before="360" w:after="200"/>
      </w:pPr>
      <w:r>
        <w:rPr>
          <w:rFonts w:ascii="Arial" w:cs="Arial" w:eastAsia="Arial" w:hAnsi="Arial"/>
          <w:b/>
          <w:bCs/>
          <w:color w:val="1A1A2E"/>
          <w:sz w:val="32"/>
          <w:szCs w:val="32"/>
        </w:rPr>
        <w:t xml:space="preserve">2. Entendiendo la Diferencia</w:t>
      </w:r>
    </w:p>
    <w:p>
      <w:pPr>
        <w:pStyle w:val="Heading2"/>
        <w:spacing w:before="280" w:after="160"/>
      </w:pPr>
      <w:r>
        <w:rPr>
          <w:rFonts w:ascii="Arial" w:cs="Arial" w:eastAsia="Arial" w:hAnsi="Arial"/>
          <w:b/>
          <w:bCs/>
          <w:color w:val="1A1A2E"/>
          <w:sz w:val="26"/>
          <w:szCs w:val="26"/>
        </w:rPr>
        <w:t xml:space="preserve">2.1 ¿Qué es una Página Web?</w:t>
      </w:r>
    </w:p>
    <w:p>
      <w:pPr>
        <w:spacing w:after="160" w:line="300"/>
      </w:pPr>
      <w:r>
        <w:rPr>
          <w:rFonts w:ascii="Arial" w:cs="Arial" w:eastAsia="Arial" w:hAnsi="Arial"/>
          <w:color w:val="333333"/>
          <w:sz w:val="22"/>
          <w:szCs w:val="22"/>
        </w:rPr>
        <w:t xml:space="preserve">Una página web es un conjunto de páginas accesibles a través de un navegador. Su propósito principal es presentar información. Piénsela como un folleto digital o una vitrina. Los visitantes llegan para leer, explorar y aprender. Ejemplos comunes incluyen páginas de inicio de empresas, blogs, portafolios y páginas de aterrizaje.</w:t>
      </w:r>
    </w:p>
    <w:p>
      <w:pPr>
        <w:spacing w:after="160" w:line="300"/>
      </w:pPr>
      <w:r>
        <w:rPr>
          <w:rFonts w:ascii="Arial" w:cs="Arial" w:eastAsia="Arial" w:hAnsi="Arial"/>
          <w:b/>
          <w:bCs/>
          <w:color w:val="333333"/>
          <w:sz w:val="22"/>
          <w:szCs w:val="22"/>
        </w:rPr>
        <w:t xml:space="preserve">Características clave: </w:t>
      </w:r>
      <w:r>
        <w:rPr>
          <w:rFonts w:ascii="Arial" w:cs="Arial" w:eastAsia="Arial" w:hAnsi="Arial"/>
          <w:color w:val="333333"/>
          <w:sz w:val="22"/>
          <w:szCs w:val="22"/>
        </w:rPr>
        <w:t xml:space="preserve">principalmente informativa, el contenido es mayormente estático o actualizado por la organización, los visitantes consumen contenido pero no lo crean ni lo manipulan, la navegación es directa, y los requerimientos técnicos son generalmente más simples.</w:t>
      </w:r>
    </w:p>
    <w:p>
      <w:pPr>
        <w:pStyle w:val="Heading2"/>
        <w:spacing w:before="280" w:after="160"/>
      </w:pPr>
      <w:r>
        <w:rPr>
          <w:rFonts w:ascii="Arial" w:cs="Arial" w:eastAsia="Arial" w:hAnsi="Arial"/>
          <w:b/>
          <w:bCs/>
          <w:color w:val="1A1A2E"/>
          <w:sz w:val="26"/>
          <w:szCs w:val="26"/>
        </w:rPr>
        <w:t xml:space="preserve">2.2 ¿Qué es una Aplicación Web?</w:t>
      </w:r>
    </w:p>
    <w:p>
      <w:pPr>
        <w:spacing w:after="160" w:line="300"/>
      </w:pPr>
      <w:r>
        <w:rPr>
          <w:rFonts w:ascii="Arial" w:cs="Arial" w:eastAsia="Arial" w:hAnsi="Arial"/>
          <w:color w:val="333333"/>
          <w:sz w:val="22"/>
          <w:szCs w:val="22"/>
        </w:rPr>
        <w:t xml:space="preserve">Una aplicación web es un software que se ejecuta en un navegador y permite a los usuarios realizar tareas. En lugar de solo leer información, los usuarios inician sesión, ingresan datos, completan tareas e interactúan con el sistema. Ejemplos incluyen portales de pacientes, sistemas de gestión de aprendizaje (LMS), herramientas de gestión de relaciones con clientes (CRM), plataformas de comercio electrónico con cuentas de usuario y sistemas de citas.</w:t>
      </w:r>
    </w:p>
    <w:p>
      <w:pPr>
        <w:spacing w:after="160" w:line="300"/>
      </w:pPr>
      <w:r>
        <w:rPr>
          <w:rFonts w:ascii="Arial" w:cs="Arial" w:eastAsia="Arial" w:hAnsi="Arial"/>
          <w:b/>
          <w:bCs/>
          <w:color w:val="333333"/>
          <w:sz w:val="22"/>
          <w:szCs w:val="22"/>
        </w:rPr>
        <w:t xml:space="preserve">Características clave: </w:t>
      </w:r>
      <w:r>
        <w:rPr>
          <w:rFonts w:ascii="Arial" w:cs="Arial" w:eastAsia="Arial" w:hAnsi="Arial"/>
          <w:color w:val="333333"/>
          <w:sz w:val="22"/>
          <w:szCs w:val="22"/>
        </w:rPr>
        <w:t xml:space="preserve">orientada a tareas e interactiva, los usuarios crean, editan o gestionan datos, generalmente requiere cuentas de usuario y autenticación, tiene lógica compleja detrás de escena, y requiere mantenimiento continuo y actualizaciones de seguridad.</w:t>
      </w:r>
    </w:p>
    <w:p>
      <w:pPr>
        <w:pStyle w:val="Heading2"/>
        <w:spacing w:before="280" w:after="160"/>
      </w:pPr>
      <w:r>
        <w:rPr>
          <w:rFonts w:ascii="Arial" w:cs="Arial" w:eastAsia="Arial" w:hAnsi="Arial"/>
          <w:b/>
          <w:bCs/>
          <w:color w:val="1A1A2E"/>
          <w:sz w:val="26"/>
          <w:szCs w:val="26"/>
        </w:rPr>
        <w:t xml:space="preserve">2.3 Comparación Lado a Lado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Característica</w:t>
            </w:r>
          </w:p>
        </w:tc>
        <w:tc>
          <w:tcPr>
            <w:tcW w:type="dxa" w:w="35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Página Web</w:t>
            </w:r>
          </w:p>
        </w:tc>
        <w:tc>
          <w:tcPr>
            <w:tcW w:type="dxa" w:w="35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Aplicación Web</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Propósito Principal</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Informar y presentar</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Habilitar tareas y flujos de trabajo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Interacción del Usuario</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Leer, explorar, contactar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Iniciar sesión, enviar, gestionar datos</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Contenido</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Creado por la organización</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Creado por usuarios y la org.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Autenticación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Raramente requerida</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Usualmente requerida</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Ejemplos</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Blog, portafolio, folleto digital</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Portal de pacientes, LMS, CRM, panel SaaS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Complejidad</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Menor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Mayor</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Mantenimiento</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Actualizaciones de contenido</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Correcciones, parches de seguridad, nuevas funciones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Rango de Presupuesto</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$2,000 a $15,000</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$15,000 a $150,000+</w:t>
            </w:r>
          </w:p>
        </w:tc>
      </w:tr>
    </w:tbl>
    <w:p>
      <w:pPr>
        <w:spacing w:after="160" w:line="300"/>
      </w:pPr>
      <w:r>
        <w:rPr>
          <w:rFonts w:ascii="Arial" w:cs="Arial" w:eastAsia="Arial" w:hAnsi="Arial"/>
          <w:color w:val="333333"/>
          <w:sz w:val="22"/>
          <w:szCs w:val="22"/>
        </w:rPr>
        <w:t xml:space="preserve">Nota: Estos son rangos generales. Los costos reales dependen del alcance, las funcionalidades, los requisitos de accesibilidad y las necesidades bilingües.</w:t>
      </w:r>
    </w:p>
    <w:p>
      <w:r>
        <w:br w:type="page"/>
      </w:r>
    </w:p>
    <w:p>
      <w:pPr>
        <w:pStyle w:val="Heading1"/>
        <w:spacing w:before="360" w:after="200"/>
      </w:pPr>
      <w:r>
        <w:rPr>
          <w:rFonts w:ascii="Arial" w:cs="Arial" w:eastAsia="Arial" w:hAnsi="Arial"/>
          <w:b/>
          <w:bCs/>
          <w:color w:val="1A1A2E"/>
          <w:sz w:val="32"/>
          <w:szCs w:val="32"/>
        </w:rPr>
        <w:t xml:space="preserve">3. Los Números: Por Qué Importa Su Presencia Digital</w:t>
      </w:r>
    </w:p>
    <w:p>
      <w:pPr>
        <w:spacing w:after="160" w:line="300"/>
      </w:pPr>
      <w:r>
        <w:rPr>
          <w:rFonts w:ascii="Arial" w:cs="Arial" w:eastAsia="Arial" w:hAnsi="Arial"/>
          <w:color w:val="333333"/>
          <w:sz w:val="22"/>
          <w:szCs w:val="22"/>
        </w:rPr>
        <w:t xml:space="preserve">Antes de analizar qué tipo de presencia se adapta a su sector, vale la pena entender por qué cualquier presencia digital importa. Los datos son claros y consistentes.</w:t>
      </w:r>
    </w:p>
    <w:p>
      <w:pPr>
        <w:pStyle w:val="Heading2"/>
        <w:spacing w:before="280" w:after="160"/>
      </w:pPr>
      <w:r>
        <w:rPr>
          <w:rFonts w:ascii="Arial" w:cs="Arial" w:eastAsia="Arial" w:hAnsi="Arial"/>
          <w:b/>
          <w:bCs/>
          <w:color w:val="1A1A2E"/>
          <w:sz w:val="26"/>
          <w:szCs w:val="26"/>
        </w:rPr>
        <w:t xml:space="preserve">3.1 Credibilidad y Primeras Impresiones</w:t>
      </w:r>
    </w:p>
    <w:p>
      <w:pPr>
        <w:spacing w:after="160" w:line="300"/>
      </w:pPr>
      <w:r>
        <w:rPr>
          <w:rFonts w:ascii="Arial" w:cs="Arial" w:eastAsia="Arial" w:hAnsi="Arial"/>
          <w:color w:val="333333"/>
          <w:sz w:val="22"/>
          <w:szCs w:val="22"/>
        </w:rPr>
        <w:t xml:space="preserve">Aproximadamente el 75% de los consumidores juzga la credibilidad de una empresa basándose en el diseño de su página web (Stanford). Las primeras impresiones son 94% relacionadas al diseño, y los usuarios las forman en aproximadamente 50 milisegundos (Google/Universidad de Basel). Alrededor del 31% de los compradores en EE.UU. han evitado un pequeño negocio específicamente porque no tenía página web (Verisign, 2023).</w:t>
      </w:r>
    </w:p>
    <w:p>
      <w:pPr>
        <w:pStyle w:val="Heading2"/>
        <w:spacing w:before="280" w:after="160"/>
      </w:pPr>
      <w:r>
        <w:rPr>
          <w:rFonts w:ascii="Arial" w:cs="Arial" w:eastAsia="Arial" w:hAnsi="Arial"/>
          <w:b/>
          <w:bCs/>
          <w:color w:val="1A1A2E"/>
          <w:sz w:val="26"/>
          <w:szCs w:val="26"/>
        </w:rPr>
        <w:t xml:space="preserve">3.2 Uso Móvil</w:t>
      </w:r>
    </w:p>
    <w:p>
      <w:pPr>
        <w:spacing w:after="160" w:line="300"/>
      </w:pPr>
      <w:r>
        <w:rPr>
          <w:rFonts w:ascii="Arial" w:cs="Arial" w:eastAsia="Arial" w:hAnsi="Arial"/>
          <w:color w:val="333333"/>
          <w:sz w:val="22"/>
          <w:szCs w:val="22"/>
        </w:rPr>
        <w:t xml:space="preserve">Los dispositivos móviles ahora representan más del 62% de todo el tráfico de internet a nivel mundial (Statista, 2025). Cerca del 53% de los usuarios abandonarán una página que tarda más de tres segundos en cargar en el celular (Google, 2023).</w:t>
      </w:r>
    </w:p>
    <w:p>
      <w:pPr>
        <w:pStyle w:val="Heading2"/>
        <w:spacing w:before="280" w:after="160"/>
      </w:pPr>
      <w:r>
        <w:rPr>
          <w:rFonts w:ascii="Arial" w:cs="Arial" w:eastAsia="Arial" w:hAnsi="Arial"/>
          <w:b/>
          <w:bCs/>
          <w:color w:val="1A1A2E"/>
          <w:sz w:val="26"/>
          <w:szCs w:val="26"/>
        </w:rPr>
        <w:t xml:space="preserve">3.3 Crecimiento Empresarial</w:t>
      </w:r>
    </w:p>
    <w:p>
      <w:pPr>
        <w:spacing w:after="160" w:line="300"/>
      </w:pPr>
      <w:r>
        <w:rPr>
          <w:rFonts w:ascii="Arial" w:cs="Arial" w:eastAsia="Arial" w:hAnsi="Arial"/>
          <w:color w:val="333333"/>
          <w:sz w:val="22"/>
          <w:szCs w:val="22"/>
        </w:rPr>
        <w:t xml:space="preserve">Las investigaciones sugieren que los pequeños negocios con páginas web crecen aproximadamente el doble de rápido que los que no tienen (Deloitte, 2023). El mercado global de servicios de desarrollo web fue valorado en más de $65 mil millones en 2023 y se proyecta que casi se duplique para 2032 (Mordor Intelligence). El mercado de aplicaciones web progresivas fue valorado en aproximadamente $3.5 mil millones en 2024 y se espera que supere los $21 mil millones para 2033 (Straits Research).</w:t>
      </w:r>
    </w:p>
    <w:p>
      <w:pPr>
        <w:pStyle w:val="Heading2"/>
        <w:spacing w:before="280" w:after="160"/>
      </w:pPr>
      <w:r>
        <w:rPr>
          <w:rFonts w:ascii="Arial" w:cs="Arial" w:eastAsia="Arial" w:hAnsi="Arial"/>
          <w:b/>
          <w:bCs/>
          <w:color w:val="1A1A2E"/>
          <w:sz w:val="26"/>
          <w:szCs w:val="26"/>
        </w:rPr>
        <w:t xml:space="preserve">3.4 Puntos de Referencia de Conversión</w:t>
      </w:r>
    </w:p>
    <w:p>
      <w:pPr>
        <w:spacing w:after="160" w:line="300"/>
      </w:pPr>
      <w:r>
        <w:rPr>
          <w:rFonts w:ascii="Arial" w:cs="Arial" w:eastAsia="Arial" w:hAnsi="Arial"/>
          <w:color w:val="333333"/>
          <w:sz w:val="22"/>
          <w:szCs w:val="22"/>
        </w:rPr>
        <w:t xml:space="preserve">En 2025, la tasa de conversión promedio en comercio electrónico está entre el 2% y 4%, dependiendo de la industria y el dispositivo (Adobe, Speed Commerce). El abandono de carritos de compra promedia aproximadamente 70% a nivel global (Baymard Institute).</w:t>
      </w:r>
    </w:p>
    <w:p>
      <w:pPr>
        <w:pBdr>
          <w:top w:val="single" w:color="C133FF" w:sz="2"/>
          <w:bottom w:val="single" w:color="C133FF" w:sz="2"/>
        </w:pBdr>
        <w:spacing w:before="200" w:after="200"/>
        <w:jc w:val="center"/>
      </w:pPr>
      <w:r>
        <w:rPr>
          <w:rFonts w:ascii="Arial" w:cs="Arial" w:eastAsia="Arial" w:hAnsi="Arial"/>
          <w:b/>
          <w:bCs/>
          <w:color w:val="C133FF"/>
          <w:sz w:val="24"/>
          <w:szCs w:val="24"/>
        </w:rPr>
        <w:t xml:space="preserve">El mercado global de SaaS está valorado en más de $315 mil millones en 2025. (Fortune Business Insights)</w:t>
      </w:r>
    </w:p>
    <w:p>
      <w:r>
        <w:br w:type="page"/>
      </w:r>
    </w:p>
    <w:p>
      <w:pPr>
        <w:pStyle w:val="Heading1"/>
        <w:spacing w:before="360" w:after="200"/>
      </w:pPr>
      <w:r>
        <w:rPr>
          <w:rFonts w:ascii="Arial" w:cs="Arial" w:eastAsia="Arial" w:hAnsi="Arial"/>
          <w:b/>
          <w:bCs/>
          <w:color w:val="1A1A2E"/>
          <w:sz w:val="32"/>
          <w:szCs w:val="32"/>
        </w:rPr>
        <w:t xml:space="preserve">4. Análisis por Sector</w:t>
      </w:r>
    </w:p>
    <w:p>
      <w:pPr>
        <w:spacing w:after="160" w:line="300"/>
      </w:pPr>
      <w:r>
        <w:rPr>
          <w:rFonts w:ascii="Arial" w:cs="Arial" w:eastAsia="Arial" w:hAnsi="Arial"/>
          <w:color w:val="333333"/>
          <w:sz w:val="22"/>
          <w:szCs w:val="22"/>
        </w:rPr>
        <w:t xml:space="preserve">No todas las organizaciones tienen las mismas necesidades. La elección correcta depende de su sector, su audiencia y las tareas que necesita que su presencia digital realice. A continuación, desglosamos siete sectores clave con datos relevantes y recomendaciones.</w:t>
      </w:r>
    </w:p>
    <w:p>
      <w:pPr>
        <w:pStyle w:val="Heading2"/>
        <w:spacing w:before="280" w:after="160"/>
      </w:pPr>
      <w:r>
        <w:rPr>
          <w:rFonts w:ascii="Arial" w:cs="Arial" w:eastAsia="Arial" w:hAnsi="Arial"/>
          <w:b/>
          <w:bCs/>
          <w:color w:val="1A1A2E"/>
          <w:sz w:val="26"/>
          <w:szCs w:val="26"/>
        </w:rPr>
        <w:t xml:space="preserve">4.1 Salud</w:t>
      </w:r>
    </w:p>
    <w:p>
      <w:pPr>
        <w:spacing w:after="160" w:line="300"/>
      </w:pPr>
      <w:r>
        <w:rPr>
          <w:rFonts w:ascii="Arial" w:cs="Arial" w:eastAsia="Arial" w:hAnsi="Arial"/>
          <w:color w:val="333333"/>
          <w:sz w:val="22"/>
          <w:szCs w:val="22"/>
        </w:rPr>
        <w:t xml:space="preserve">Las organizaciones de salud enfrentan demandas digitales únicas. Los pacientes esperan programar citas, ver resultados de pruebas y comunicarse con proveedores en línea. Al mismo tiempo, las páginas web de salud deben cumplir con los estándares de privacidad de HIPAA y, en muchos casos, los requisitos de accesibilidad de la Sección 508.</w:t>
      </w:r>
    </w:p>
    <w:p>
      <w:pPr>
        <w:spacing w:after="160" w:line="300"/>
      </w:pPr>
      <w:r>
        <w:rPr>
          <w:rFonts w:ascii="Arial" w:cs="Arial" w:eastAsia="Arial" w:hAnsi="Arial"/>
          <w:b/>
          <w:bCs/>
          <w:color w:val="333333"/>
          <w:sz w:val="22"/>
          <w:szCs w:val="22"/>
        </w:rPr>
        <w:t xml:space="preserve">Los datos: </w:t>
      </w:r>
      <w:r>
        <w:rPr>
          <w:rFonts w:ascii="Arial" w:cs="Arial" w:eastAsia="Arial" w:hAnsi="Arial"/>
          <w:color w:val="333333"/>
          <w:sz w:val="22"/>
          <w:szCs w:val="22"/>
        </w:rPr>
        <w:t xml:space="preserve">En 2024, el 77% de los pacientes tenían acceso a un portal de pacientes. De los que accedieron a sus registros, el 57% usó una aplicación en su celular (ONC/ASTP, 2024). Los pacientes que usaron apps accedieron más frecuentemente: 42% ingresaron seis o más veces al año comparado con solo el 28% de los usuarios que solo usaron la web.</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La mayoría de las organizaciones de salud necesitan ambas. Una página web pública maneja información general, directorios de proveedores y descripciones de servicios. Una aplicación web (portal de pacientes) maneja citas, acceso a registros, mensajería segura y facturación.</w:t>
      </w:r>
    </w:p>
    <w:p>
      <w:pPr>
        <w:pStyle w:val="Heading2"/>
        <w:spacing w:before="280" w:after="160"/>
      </w:pPr>
      <w:r>
        <w:rPr>
          <w:rFonts w:ascii="Arial" w:cs="Arial" w:eastAsia="Arial" w:hAnsi="Arial"/>
          <w:b/>
          <w:bCs/>
          <w:color w:val="1A1A2E"/>
          <w:sz w:val="26"/>
          <w:szCs w:val="26"/>
        </w:rPr>
        <w:t xml:space="preserve">4.2 Educación</w:t>
      </w:r>
    </w:p>
    <w:p>
      <w:pPr>
        <w:spacing w:after="160" w:line="300"/>
      </w:pPr>
      <w:r>
        <w:rPr>
          <w:rFonts w:ascii="Arial" w:cs="Arial" w:eastAsia="Arial" w:hAnsi="Arial"/>
          <w:color w:val="333333"/>
          <w:sz w:val="22"/>
          <w:szCs w:val="22"/>
        </w:rPr>
        <w:t xml:space="preserve">Las escuelas, universidades y organizaciones de capacitación están profundamente comprometidas con el aprendizaje digital. El mercado global de sistemas de gestión de aprendizaje (LMS) se espera que alcance aproximadamente $28.6 mil millones en 2025 y podría crecer a más de $70 mil millones para 2030 (Grand View Research).</w:t>
      </w:r>
    </w:p>
    <w:p>
      <w:pPr>
        <w:spacing w:after="160" w:line="300"/>
      </w:pPr>
      <w:r>
        <w:rPr>
          <w:rFonts w:ascii="Arial" w:cs="Arial" w:eastAsia="Arial" w:hAnsi="Arial"/>
          <w:b/>
          <w:bCs/>
          <w:color w:val="333333"/>
          <w:sz w:val="22"/>
          <w:szCs w:val="22"/>
        </w:rPr>
        <w:t xml:space="preserve">Los datos: </w:t>
      </w:r>
      <w:r>
        <w:rPr>
          <w:rFonts w:ascii="Arial" w:cs="Arial" w:eastAsia="Arial" w:hAnsi="Arial"/>
          <w:color w:val="333333"/>
          <w:sz w:val="22"/>
          <w:szCs w:val="22"/>
        </w:rPr>
        <w:t xml:space="preserve">Más del 80% de las principales instituciones educativas en Norteamérica usan un LMS. Canvas lidera con aproximadamente 39% del mercado LMS en educación superior. Un estimado del 90% de los estudiantes prefiere el aprendizaje en línea sobre los métodos completamente tradicionales.</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Las instituciones educativas casi siempre necesitan una aplicación web. Un LMS es una aplicación web en su esencia. La página web pública sirve para reclutamiento, información de admisiones y noticias del campus, mientras la aplicación web maneja cursos, calificaciones y comunicación estudiantil.</w:t>
      </w:r>
    </w:p>
    <w:p>
      <w:pPr>
        <w:pStyle w:val="Heading2"/>
        <w:spacing w:before="280" w:after="160"/>
      </w:pPr>
      <w:r>
        <w:rPr>
          <w:rFonts w:ascii="Arial" w:cs="Arial" w:eastAsia="Arial" w:hAnsi="Arial"/>
          <w:b/>
          <w:bCs/>
          <w:color w:val="1A1A2E"/>
          <w:sz w:val="26"/>
          <w:szCs w:val="26"/>
        </w:rPr>
        <w:t xml:space="preserve">4.3 Contratistas del Gobierno</w:t>
      </w:r>
    </w:p>
    <w:p>
      <w:pPr>
        <w:spacing w:after="160" w:line="300"/>
      </w:pPr>
      <w:r>
        <w:rPr>
          <w:rFonts w:ascii="Arial" w:cs="Arial" w:eastAsia="Arial" w:hAnsi="Arial"/>
          <w:color w:val="333333"/>
          <w:sz w:val="22"/>
          <w:szCs w:val="22"/>
        </w:rPr>
        <w:t xml:space="preserve">Los contratistas del gobierno operan en un entorno altamente regulado. Los contratos federales frecuentemente requieren cumplimiento con la Sección 508, que exige que la tecnología electrónica y de información sea accesible para personas con discapacidades.</w:t>
      </w:r>
    </w:p>
    <w:p>
      <w:pPr>
        <w:spacing w:after="160" w:line="300"/>
      </w:pPr>
      <w:r>
        <w:t>Los datos: Más del 50% de las agencias gubernamentales de EE.UU. han adoptado soluciones SaaS basadas en la nube (DevSquad, 2025). El gasto en transformación digital por entidades gubernamentales es parte del gasto global de $2.8 billones proyectado para 2025 (Markets and Markets).</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Los contratistas del gobierno típicamente necesitan ambas. La página web establece credibilidad y demuestra capacidades. Las aplicaciones web manejan flujos internos: seguimiento de tiempo, gestión de documentos, módulos de cumplimiento y portales de entregables. El cumplimiento de accesibilidad no es negociable para ambas.</w:t>
      </w:r>
    </w:p>
    <w:p>
      <w:r>
        <w:br w:type="page"/>
      </w:r>
    </w:p>
    <w:p>
      <w:pPr>
        <w:pStyle w:val="Heading2"/>
        <w:spacing w:before="280" w:after="160"/>
      </w:pPr>
      <w:r>
        <w:rPr>
          <w:rFonts w:ascii="Arial" w:cs="Arial" w:eastAsia="Arial" w:hAnsi="Arial"/>
          <w:b/>
          <w:bCs/>
          <w:color w:val="1A1A2E"/>
          <w:sz w:val="26"/>
          <w:szCs w:val="26"/>
        </w:rPr>
        <w:t xml:space="preserve">4.4 Organizaciones Sin Fines de Lucro</w:t>
      </w:r>
    </w:p>
    <w:p>
      <w:pPr>
        <w:spacing w:after="160" w:line="300"/>
      </w:pPr>
      <w:r>
        <w:rPr>
          <w:rFonts w:ascii="Arial" w:cs="Arial" w:eastAsia="Arial" w:hAnsi="Arial"/>
          <w:color w:val="333333"/>
          <w:sz w:val="22"/>
          <w:szCs w:val="22"/>
        </w:rPr>
        <w:t xml:space="preserve">Las organizaciones sin fines de lucro dependen de su presencia digital para construir confianza, contar su historia, atraer donantes y coordinar voluntarios. Sus presupuestos suelen ser limitados, lo que hace que elegir el tipo correcto de presencia sea aún más importante.</w:t>
      </w:r>
    </w:p>
    <w:p>
      <w:pPr>
        <w:spacing w:after="160" w:line="300"/>
      </w:pPr>
      <w:r>
        <w:rPr>
          <w:rFonts w:ascii="Arial" w:cs="Arial" w:eastAsia="Arial" w:hAnsi="Arial"/>
          <w:b/>
          <w:bCs/>
          <w:color w:val="333333"/>
          <w:sz w:val="22"/>
          <w:szCs w:val="22"/>
        </w:rPr>
        <w:t xml:space="preserve">Los datos: </w:t>
      </w:r>
      <w:r>
        <w:rPr>
          <w:rFonts w:ascii="Arial" w:cs="Arial" w:eastAsia="Arial" w:hAnsi="Arial"/>
          <w:color w:val="333333"/>
          <w:sz w:val="22"/>
          <w:szCs w:val="22"/>
        </w:rPr>
        <w:t xml:space="preserve">En 2024, el 45% de las donaciones en línea se hicieron desde un dispositivo móvil (M+R Benchmarks, 2025). Las donaciones mensuales representaron el 31% de todos los ingresos en línea de organizaciones sin fines de lucro. La mayoría de los donantes (63%) prefiere dar en línea con tarjeta de crédito o débito (NPTrust, 2024). GivingTuesday 2024 recaudó $3.6 mil millones, un aumento del 16% respecto al año anterior.</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Para la mayoría de las organizaciones sin fines de lucro, una página web bien construida con funcionalidad de donaciones integrada es el punto de partida correcto. Debe estar optimizada para celulares, tener una página de donaciones clara y accesible, y contar la historia de la organización de manera efectiva. Las organizaciones más grandes con necesidades complejas pueden beneficiarse de una capa de aplicación web. La clave es no sobredimensionar: comience con la página web y agregue funciones de aplicación según crezcan las necesidades.</w:t>
      </w:r>
    </w:p>
    <w:p>
      <w:pPr>
        <w:pStyle w:val="Heading2"/>
        <w:spacing w:before="280" w:after="160"/>
      </w:pPr>
      <w:r>
        <w:rPr>
          <w:rFonts w:ascii="Arial" w:cs="Arial" w:eastAsia="Arial" w:hAnsi="Arial"/>
          <w:b/>
          <w:bCs/>
          <w:color w:val="1A1A2E"/>
          <w:sz w:val="26"/>
          <w:szCs w:val="26"/>
        </w:rPr>
        <w:t xml:space="preserve">4.5 Servicios Profesionales</w:t>
      </w:r>
    </w:p>
    <w:p>
      <w:pPr>
        <w:spacing w:after="160" w:line="300"/>
      </w:pPr>
      <w:r>
        <w:rPr>
          <w:rFonts w:ascii="Arial" w:cs="Arial" w:eastAsia="Arial" w:hAnsi="Arial"/>
          <w:color w:val="333333"/>
          <w:sz w:val="22"/>
          <w:szCs w:val="22"/>
        </w:rPr>
        <w:t xml:space="preserve">Firmas de abogados, asesores financieros, consultores, contadores y firmas similares dependen de su presencia en línea para demostrar experiencia y convertir consultas en clientes.</w:t>
      </w:r>
    </w:p>
    <w:p>
      <w:pPr>
        <w:spacing w:after="160" w:line="300"/>
      </w:pPr>
      <w:r>
        <w:rPr>
          <w:rFonts w:ascii="Arial" w:cs="Arial" w:eastAsia="Arial" w:hAnsi="Arial"/>
          <w:b/>
          <w:bCs/>
          <w:color w:val="333333"/>
          <w:sz w:val="22"/>
          <w:szCs w:val="22"/>
        </w:rPr>
        <w:t xml:space="preserve">Los datos: </w:t>
      </w:r>
      <w:r>
        <w:rPr>
          <w:rFonts w:ascii="Arial" w:cs="Arial" w:eastAsia="Arial" w:hAnsi="Arial"/>
          <w:color w:val="333333"/>
          <w:sz w:val="22"/>
          <w:szCs w:val="22"/>
        </w:rPr>
        <w:t xml:space="preserve">El 81% de los consumidores investiga un negocio en línea antes de comprar, y del 70% al 80% visita la página web de una empresa antes de comprar en tienda física o programar una consulta (Forbes, 2024). El retorno de inversión en diseño de experiencia de usuario puede ser tan alto como 9,900% (Forrester).</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Las firmas de servicios profesionales generalmente necesitan una página web primero. Esta debe comunicar experiencia, mostrar credenciales, presentar estudios de caso y facilitar la programación de consultas. Las firmas que necesitan portales de clientes deben considerar agregar una aplicación web como segundo paso.</w:t>
      </w:r>
    </w:p>
    <w:p>
      <w:pPr>
        <w:pStyle w:val="Heading2"/>
        <w:spacing w:before="280" w:after="160"/>
      </w:pPr>
      <w:r>
        <w:rPr>
          <w:rFonts w:ascii="Arial" w:cs="Arial" w:eastAsia="Arial" w:hAnsi="Arial"/>
          <w:b/>
          <w:bCs/>
          <w:color w:val="1A1A2E"/>
          <w:sz w:val="26"/>
          <w:szCs w:val="26"/>
        </w:rPr>
        <w:t xml:space="preserve">4.6 SaaS y Tecnología</w:t>
      </w:r>
    </w:p>
    <w:p>
      <w:pPr>
        <w:spacing w:after="160" w:line="300"/>
      </w:pPr>
      <w:r>
        <w:rPr>
          <w:rFonts w:ascii="Arial" w:cs="Arial" w:eastAsia="Arial" w:hAnsi="Arial"/>
          <w:color w:val="333333"/>
          <w:sz w:val="22"/>
          <w:szCs w:val="22"/>
        </w:rPr>
        <w:t xml:space="preserve">Las compañías SaaS y las empresas de tecnología están, por definición, en el negocio de las aplicaciones web. Su producto es la aplicación. Sin embargo, aún necesitan una página web pública para comercializar ese producto.</w:t>
      </w:r>
    </w:p>
    <w:p>
      <w:pPr>
        <w:spacing w:after="160" w:line="300"/>
      </w:pPr>
      <w:r>
        <w:t>Los datos: El mercado global de SaaS fue valorado en más de $315 mil millones en 2025 y se proyecta que supere $1.4 billones para 2034 (Fortune Business Insights). Aproximadamente el 99% de las empresas usan al menos una aplicación SaaS. Las empresas utilizan un promedio de 106 herramientas SaaS. Se espera que el 85% de las aplicaciones empresariales sean basadas en SaaS para finales de 2025 (BetterCloud).</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Las compañías SaaS necesitan ambas. La página web de marketing impulsa el conocimiento de marca, educa a los prospectos y captura clientes potenciales. La aplicación web ES el producto. La transición de página web a aplicación es uno de los puntos de conversión más críticos en todo el negocio.</w:t>
      </w:r>
    </w:p>
    <w:p>
      <w:pPr>
        <w:pStyle w:val="Heading2"/>
        <w:spacing w:before="280" w:after="160"/>
      </w:pPr>
      <w:r>
        <w:rPr>
          <w:rFonts w:ascii="Arial" w:cs="Arial" w:eastAsia="Arial" w:hAnsi="Arial"/>
          <w:b/>
          <w:bCs/>
          <w:color w:val="1A1A2E"/>
          <w:sz w:val="26"/>
          <w:szCs w:val="26"/>
        </w:rPr>
        <w:t xml:space="preserve">4.7 Ventas y Comercio Electrónico</w:t>
      </w:r>
    </w:p>
    <w:p>
      <w:pPr>
        <w:spacing w:after="160" w:line="300"/>
      </w:pPr>
      <w:r>
        <w:rPr>
          <w:rFonts w:ascii="Arial" w:cs="Arial" w:eastAsia="Arial" w:hAnsi="Arial"/>
          <w:color w:val="333333"/>
          <w:sz w:val="22"/>
          <w:szCs w:val="22"/>
        </w:rPr>
        <w:t xml:space="preserve">Las organizaciones enfocadas en vender productos o servicios en línea necesitan una presencia digital que genere ingresos directamente. Este es el sector donde la línea entre página web y aplicación web se difumina más.</w:t>
      </w:r>
    </w:p>
    <w:p>
      <w:pPr>
        <w:spacing w:after="160" w:line="300"/>
      </w:pPr>
      <w:r>
        <w:t>Los datos: Las ventas globales de comercio electrónico se proyectan en $6.86 billones para 2025 (Speed Commerce). La tasa de conversión promedio está entre el 2% y 4%. Los dispositivos móviles generan más del 70% del tráfico de comercio electrónico pero convierten a tasas más bajas que las computadoras de escritorio. El abandono de carritos promedia aproximadamente 70%.</w:t>
      </w:r>
    </w:p>
    <w:p>
      <w:pPr>
        <w:spacing w:after="160" w:line="300"/>
      </w:pPr>
      <w:r>
        <w:rPr>
          <w:rFonts w:ascii="Arial" w:cs="Arial" w:eastAsia="Arial" w:hAnsi="Arial"/>
          <w:b/>
          <w:bCs/>
          <w:color w:val="333333"/>
          <w:sz w:val="22"/>
          <w:szCs w:val="22"/>
        </w:rPr>
        <w:t xml:space="preserve">Recomendación: </w:t>
      </w:r>
      <w:r>
        <w:rPr>
          <w:rFonts w:ascii="Arial" w:cs="Arial" w:eastAsia="Arial" w:hAnsi="Arial"/>
          <w:color w:val="333333"/>
          <w:sz w:val="22"/>
          <w:szCs w:val="22"/>
        </w:rPr>
        <w:t xml:space="preserve">Las organizaciones enfocadas en ventas casi siempre necesitan una aplicación web. Una tienda en línea con cuentas de usuario, carritos de compra, procesamiento de pagos y seguimiento de pedidos es una aplicación web. Las organizaciones que venden menos productos pueden comenzar con una página web con formularios de contacto y herramientas de programación, y luego escalar a una aplicación de comercio electrónico.</w:t>
      </w:r>
    </w:p>
    <w:p>
      <w:r>
        <w:br w:type="page"/>
      </w:r>
    </w:p>
    <w:p>
      <w:pPr>
        <w:pStyle w:val="Heading1"/>
        <w:spacing w:before="360" w:after="200"/>
      </w:pPr>
      <w:r>
        <w:rPr>
          <w:rFonts w:ascii="Arial" w:cs="Arial" w:eastAsia="Arial" w:hAnsi="Arial"/>
          <w:b/>
          <w:bCs/>
          <w:color w:val="1A1A2E"/>
          <w:sz w:val="32"/>
          <w:szCs w:val="32"/>
        </w:rPr>
        <w:t xml:space="preserve">5. El Enfoque Híbrido: Cuando Necesita Ambas</w:t>
      </w:r>
    </w:p>
    <w:p>
      <w:pPr>
        <w:spacing w:after="160" w:line="300"/>
      </w:pPr>
      <w:r>
        <w:rPr>
          <w:rFonts w:ascii="Arial" w:cs="Arial" w:eastAsia="Arial" w:hAnsi="Arial"/>
          <w:color w:val="333333"/>
          <w:sz w:val="22"/>
          <w:szCs w:val="22"/>
        </w:rPr>
        <w:t xml:space="preserve">En la práctica, muchas organizaciones se benefician de un enfoque combinado. La página web pública maneja el descubrimiento, la construcción de confianza y la información general. La aplicación web maneja tareas, transacciones e interacciones seguras. Las dos trabajan juntas pero sirven a diferentes audiencias y propósitos.</w:t>
      </w:r>
    </w:p>
    <w:p>
      <w:pPr>
        <w:pStyle w:val="Heading2"/>
        <w:spacing w:before="280" w:after="160"/>
      </w:pPr>
      <w:r>
        <w:rPr>
          <w:rFonts w:ascii="Arial" w:cs="Arial" w:eastAsia="Arial" w:hAnsi="Arial"/>
          <w:b/>
          <w:bCs/>
          <w:color w:val="1A1A2E"/>
          <w:sz w:val="26"/>
          <w:szCs w:val="26"/>
        </w:rPr>
        <w:t xml:space="preserve">5.1 Patrones Híbridos Comunes</w:t>
      </w:r>
    </w:p>
    <w:p>
      <w:pPr>
        <w:spacing w:after="160" w:line="300"/>
      </w:pPr>
      <w:r>
        <w:rPr>
          <w:rFonts w:ascii="Arial" w:cs="Arial" w:eastAsia="Arial" w:hAnsi="Arial"/>
          <w:b/>
          <w:bCs/>
          <w:color w:val="333333"/>
          <w:sz w:val="22"/>
          <w:szCs w:val="22"/>
        </w:rPr>
        <w:t xml:space="preserve">Página Web + Portal de Clientes: </w:t>
      </w:r>
      <w:r>
        <w:rPr>
          <w:rFonts w:ascii="Arial" w:cs="Arial" w:eastAsia="Arial" w:hAnsi="Arial"/>
          <w:color w:val="333333"/>
          <w:sz w:val="22"/>
          <w:szCs w:val="22"/>
        </w:rPr>
        <w:t xml:space="preserve">Firmas de servicios profesionales usan una página de marketing para atraer clientes y un portal seguro para compartir documentos, actualizaciones de proyectos y facturación.</w:t>
      </w:r>
    </w:p>
    <w:p>
      <w:pPr>
        <w:spacing w:after="160" w:line="300"/>
      </w:pPr>
      <w:r>
        <w:rPr>
          <w:rFonts w:ascii="Arial" w:cs="Arial" w:eastAsia="Arial" w:hAnsi="Arial"/>
          <w:b/>
          <w:bCs/>
          <w:color w:val="333333"/>
          <w:sz w:val="22"/>
          <w:szCs w:val="22"/>
        </w:rPr>
        <w:t xml:space="preserve">Página Web + Portal de Pacientes: </w:t>
      </w:r>
      <w:r>
        <w:rPr>
          <w:rFonts w:ascii="Arial" w:cs="Arial" w:eastAsia="Arial" w:hAnsi="Arial"/>
          <w:color w:val="333333"/>
          <w:sz w:val="22"/>
          <w:szCs w:val="22"/>
        </w:rPr>
        <w:t xml:space="preserve">Las organizaciones de salud presentan sus servicios en el sitio público, mientras los pacientes inician sesión en una aplicación separada para registros, mensajería y citas.</w:t>
      </w:r>
    </w:p>
    <w:p>
      <w:pPr>
        <w:spacing w:after="160" w:line="300"/>
      </w:pPr>
      <w:r>
        <w:rPr>
          <w:rFonts w:ascii="Arial" w:cs="Arial" w:eastAsia="Arial" w:hAnsi="Arial"/>
          <w:b/>
          <w:bCs/>
          <w:color w:val="333333"/>
          <w:sz w:val="22"/>
          <w:szCs w:val="22"/>
        </w:rPr>
        <w:t xml:space="preserve">Página Web + Plataforma de Comercio Electrónico: </w:t>
      </w:r>
      <w:r>
        <w:rPr>
          <w:rFonts w:ascii="Arial" w:cs="Arial" w:eastAsia="Arial" w:hAnsi="Arial"/>
          <w:color w:val="333333"/>
          <w:sz w:val="22"/>
          <w:szCs w:val="22"/>
        </w:rPr>
        <w:t xml:space="preserve">Las empresas muestran su historia de marca y catálogo de productos en la página web y usan una aplicación web de comercio electrónico para el flujo de compra.</w:t>
      </w:r>
    </w:p>
    <w:p>
      <w:pPr>
        <w:spacing w:after="160" w:line="300"/>
      </w:pPr>
      <w:r>
        <w:rPr>
          <w:rFonts w:ascii="Arial" w:cs="Arial" w:eastAsia="Arial" w:hAnsi="Arial"/>
          <w:b/>
          <w:bCs/>
          <w:color w:val="333333"/>
          <w:sz w:val="22"/>
          <w:szCs w:val="22"/>
        </w:rPr>
        <w:t xml:space="preserve">Página Web + LMS: </w:t>
      </w:r>
      <w:r>
        <w:rPr>
          <w:rFonts w:ascii="Arial" w:cs="Arial" w:eastAsia="Arial" w:hAnsi="Arial"/>
          <w:color w:val="333333"/>
          <w:sz w:val="22"/>
          <w:szCs w:val="22"/>
        </w:rPr>
        <w:t xml:space="preserve">Las instituciones educativas mantienen una página web pública para reclutamiento mientras ejecutan sus cursos a través de un sistema de gestión de aprendizaje.</w:t>
      </w:r>
    </w:p>
    <w:p>
      <w:pPr>
        <w:pStyle w:val="Heading2"/>
        <w:spacing w:before="280" w:after="160"/>
      </w:pPr>
      <w:r>
        <w:rPr>
          <w:rFonts w:ascii="Arial" w:cs="Arial" w:eastAsia="Arial" w:hAnsi="Arial"/>
          <w:b/>
          <w:bCs/>
          <w:color w:val="1A1A2E"/>
          <w:sz w:val="26"/>
          <w:szCs w:val="26"/>
        </w:rPr>
        <w:t xml:space="preserve">5.2 Cuándo Comenzar con una Página Web y Crecer Hacia una App</w:t>
      </w:r>
    </w:p>
    <w:p>
      <w:pPr>
        <w:spacing w:after="160" w:line="300"/>
      </w:pPr>
      <w:r>
        <w:rPr>
          <w:rFonts w:ascii="Arial" w:cs="Arial" w:eastAsia="Arial" w:hAnsi="Arial"/>
          <w:color w:val="333333"/>
          <w:sz w:val="22"/>
          <w:szCs w:val="22"/>
        </w:rPr>
        <w:t xml:space="preserve">No todas las organizaciones necesitan lanzar ambas al mismo tiempo. Si su necesidad inmediata es visibilidad y credibilidad, comience con una página web. Constrúyala bien, hágala accesible y asegúrese de que funcione en celulares. A medida que su organización crezca y su audiencia comience a pedir más (citas en línea, gestión de cuentas, herramientas de autoservicio), planifique una fase de aplicación web.</w:t>
      </w:r>
    </w:p>
    <w:p>
      <w:pPr>
        <w:spacing w:after="160" w:line="300"/>
      </w:pPr>
      <w:r>
        <w:rPr>
          <w:rFonts w:ascii="Arial" w:cs="Arial" w:eastAsia="Arial" w:hAnsi="Arial"/>
          <w:color w:val="333333"/>
          <w:sz w:val="22"/>
          <w:szCs w:val="22"/>
        </w:rPr>
        <w:t xml:space="preserve">Este enfoque por fases es a menudo el camino más económico y práctico. Le permite validar la demanda antes de invertir en tecnología más compleja.</w:t>
      </w:r>
    </w:p>
    <w:p>
      <w:r>
        <w:br w:type="page"/>
      </w:r>
    </w:p>
    <w:p>
      <w:pPr>
        <w:pStyle w:val="Heading1"/>
        <w:spacing w:before="360" w:after="200"/>
      </w:pPr>
      <w:r>
        <w:rPr>
          <w:rFonts w:ascii="Arial" w:cs="Arial" w:eastAsia="Arial" w:hAnsi="Arial"/>
          <w:b/>
          <w:bCs/>
          <w:color w:val="1A1A2E"/>
          <w:sz w:val="32"/>
          <w:szCs w:val="32"/>
        </w:rPr>
        <w:t xml:space="preserve">6. Marco de Decisión: Cinco Preguntas para Guiar Su Elección</w:t>
      </w:r>
    </w:p>
    <w:p>
      <w:pPr>
        <w:spacing w:after="160" w:line="300"/>
      </w:pPr>
      <w:r>
        <w:rPr>
          <w:rFonts w:ascii="Arial" w:cs="Arial" w:eastAsia="Arial" w:hAnsi="Arial"/>
          <w:color w:val="333333"/>
          <w:sz w:val="22"/>
          <w:szCs w:val="22"/>
        </w:rPr>
        <w:t xml:space="preserve">Use las siguientes cinco preguntas para determinar si su organización necesita una página web, una aplicación web, o ambas. Responda cada una honestamente basándose en su realidad actual y planes a corto plazo (los próximos 12 a 18 meses).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3360"/>
        <w:gridCol w:w="2610"/>
        <w:gridCol w:w="2610"/>
      </w:tblGrid>
      <w:tr>
        <w:tc>
          <w:tcPr>
            <w:tcW w:type="dxa" w:w="7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Pregunta</w:t>
            </w:r>
          </w:p>
        </w:tc>
        <w:tc>
          <w:tcPr>
            <w:tcW w:type="dxa" w:w="26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Si SÍ</w:t>
            </w:r>
          </w:p>
        </w:tc>
        <w:tc>
          <w:tcPr>
            <w:tcW w:type="dxa" w:w="26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Si NO</w:t>
            </w:r>
          </w:p>
        </w:tc>
      </w:tr>
      <w:tr>
        <w:tc>
          <w:tcPr>
            <w:tcW w:type="dxa" w:w="78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1</w:t>
            </w:r>
          </w:p>
        </w:tc>
        <w:tc>
          <w:tcPr>
            <w:tcW w:type="dxa" w:w="336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¿Los usuarios necesitan iniciar sesión y gestionar datos personales?</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Aplicación Web</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La página web puede ser suficiente</w:t>
            </w:r>
          </w:p>
        </w:tc>
      </w:tr>
      <w:tr>
        <w:tc>
          <w:tcPr>
            <w:tcW w:type="dxa" w:w="7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2</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¿Su objetivo principal es informar o construir confianza con nuevas audiencias?</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Página Web</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Inclínese hacia App</w:t>
            </w:r>
          </w:p>
        </w:tc>
      </w:tr>
      <w:tr>
        <w:tc>
          <w:tcPr>
            <w:tcW w:type="dxa" w:w="78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3</w:t>
            </w:r>
          </w:p>
        </w:tc>
        <w:tc>
          <w:tcPr>
            <w:tcW w:type="dxa" w:w="336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¿Procesa transacciones, citas o envíos en línea?</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Aplicación Web</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La página web puede ser suficiente</w:t>
            </w:r>
          </w:p>
        </w:tc>
      </w:tr>
      <w:tr>
        <w:tc>
          <w:tcPr>
            <w:tcW w:type="dxa" w:w="7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4</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¿Necesita cumplir con regulaciones sectoriales (HIPAA, Sección 508, FERPA)?</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Ambas</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Depende de otras respuestas</w:t>
            </w:r>
          </w:p>
        </w:tc>
      </w:tr>
      <w:tr>
        <w:tc>
          <w:tcPr>
            <w:tcW w:type="dxa" w:w="78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5</w:t>
            </w:r>
          </w:p>
        </w:tc>
        <w:tc>
          <w:tcPr>
            <w:tcW w:type="dxa" w:w="336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¿Su presupuesto es menor de $15,000 para la construcción inicial?</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Comience con Página Web, planifique App después</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Considere ambas desde el inicio</w:t>
            </w:r>
          </w:p>
        </w:tc>
      </w:tr>
    </w:tbl>
    <w:p>
      <w:pPr>
        <w:spacing w:after="160" w:line="300"/>
      </w:pPr>
      <w:r>
        <w:rPr>
          <w:rFonts w:ascii="Arial" w:cs="Arial" w:eastAsia="Arial" w:hAnsi="Arial"/>
          <w:color w:val="333333"/>
          <w:sz w:val="22"/>
          <w:szCs w:val="22"/>
        </w:rPr>
        <w:t xml:space="preserve"/>
      </w:r>
    </w:p>
    <w:p>
      <w:pPr>
        <w:spacing w:after="160" w:line="300"/>
      </w:pPr>
      <w:r>
        <w:rPr>
          <w:rFonts w:ascii="Arial" w:cs="Arial" w:eastAsia="Arial" w:hAnsi="Arial"/>
          <w:b/>
          <w:bCs/>
          <w:color w:val="333333"/>
          <w:sz w:val="22"/>
          <w:szCs w:val="22"/>
        </w:rPr>
        <w:t xml:space="preserve">Cómo leer sus resultados: </w:t>
      </w:r>
      <w:r>
        <w:rPr>
          <w:rFonts w:ascii="Arial" w:cs="Arial" w:eastAsia="Arial" w:hAnsi="Arial"/>
          <w:color w:val="333333"/>
          <w:sz w:val="22"/>
          <w:szCs w:val="22"/>
        </w:rPr>
        <w:t xml:space="preserve">Si la mayoría de sus respuestas apuntan hacia "Página Web", esa es su prioridad. Si la mayoría apunta hacia "Aplicación Web", invierta de acuerdo, pero no omita la página web pública; sigue siendo su puerta principal. Si sus respuestas son mixtas, probablemente sea un caso híbrido. Comience con la página web y agregue la aplicación web según el presupuesto y la demanda lo permitan.</w:t>
      </w:r>
    </w:p>
    <w:p>
      <w:pPr>
        <w:pStyle w:val="Heading1"/>
        <w:spacing w:before="360" w:after="200"/>
      </w:pPr>
      <w:r>
        <w:rPr>
          <w:rFonts w:ascii="Arial" w:cs="Arial" w:eastAsia="Arial" w:hAnsi="Arial"/>
          <w:b/>
          <w:bCs/>
          <w:color w:val="1A1A2E"/>
          <w:sz w:val="32"/>
          <w:szCs w:val="32"/>
        </w:rPr>
        <w:t xml:space="preserve">7. Una Nota Sobre Accesibilidad</w:t>
      </w:r>
    </w:p>
    <w:p>
      <w:pPr>
        <w:spacing w:after="160" w:line="300"/>
      </w:pPr>
      <w:r>
        <w:rPr>
          <w:rFonts w:ascii="Arial" w:cs="Arial" w:eastAsia="Arial" w:hAnsi="Arial"/>
          <w:color w:val="333333"/>
          <w:sz w:val="22"/>
          <w:szCs w:val="22"/>
        </w:rPr>
        <w:t xml:space="preserve">Sin importar si construye una página web, una aplicación web, o ambas, la accesibilidad debe ser parte del plan desde el principio. Según el estudio WebAIM Million 2025, el 94.8% de los principales un millón de sitios web tienen fallas de accesibilidad medibles. Más de 4,000 demandas de accesibilidad digital ADA se presentaron solo en 2024 (UsableNet). Uno de cada cuatro adultos estadounidenses vive con una discapacidad (CDC, 2023).</w:t>
      </w:r>
    </w:p>
    <w:p>
      <w:pPr>
        <w:spacing w:after="160" w:line="300"/>
      </w:pPr>
      <w:r>
        <w:rPr>
          <w:rFonts w:ascii="Arial" w:cs="Arial" w:eastAsia="Arial" w:hAnsi="Arial"/>
          <w:color w:val="333333"/>
          <w:sz w:val="22"/>
          <w:szCs w:val="22"/>
        </w:rPr>
        <w:t xml:space="preserve">Construir para la accesibilidad no es solo una preocupación legal. Expande su audiencia, mejora la experiencia de usuario para todos, fortalece su rendimiento en SEO y demuestra los valores de su organización. El costo de adaptar un sitio o aplicación inaccesible después del lanzamiento es significativamente mayor que construirlo bien desde el principio.</w:t>
      </w:r>
    </w:p>
    <w:p>
      <w:r>
        <w:br w:type="page"/>
      </w:r>
    </w:p>
    <w:p>
      <w:pPr>
        <w:pStyle w:val="Heading1"/>
        <w:spacing w:before="360" w:after="200"/>
      </w:pPr>
      <w:r>
        <w:rPr>
          <w:rFonts w:ascii="Arial" w:cs="Arial" w:eastAsia="Arial" w:hAnsi="Arial"/>
          <w:b/>
          <w:bCs/>
          <w:color w:val="1A1A2E"/>
          <w:sz w:val="32"/>
          <w:szCs w:val="32"/>
        </w:rPr>
        <w:t xml:space="preserve">8. Conclusión</w:t>
      </w:r>
    </w:p>
    <w:p>
      <w:pPr>
        <w:spacing w:after="160" w:line="300"/>
      </w:pPr>
      <w:r>
        <w:rPr>
          <w:rFonts w:ascii="Arial" w:cs="Arial" w:eastAsia="Arial" w:hAnsi="Arial"/>
          <w:color w:val="333333"/>
          <w:sz w:val="22"/>
          <w:szCs w:val="22"/>
        </w:rPr>
        <w:t xml:space="preserve">La elección entre una página web y una aplicación web no se trata de cuál es mejor. Se trata de cuál es la correcta para su organización, su audiencia y sus metas. Las páginas web informan. Las aplicaciones web habilitan. Muchas organizaciones se benefician de ambas.</w:t>
      </w:r>
    </w:p>
    <w:p>
      <w:pPr>
        <w:spacing w:after="160" w:line="300"/>
      </w:pPr>
      <w:r>
        <w:rPr>
          <w:rFonts w:ascii="Arial" w:cs="Arial" w:eastAsia="Arial" w:hAnsi="Arial"/>
          <w:color w:val="333333"/>
          <w:sz w:val="22"/>
          <w:szCs w:val="22"/>
        </w:rPr>
        <w:t xml:space="preserve">Los datos dejan una cosa clara: ya sea que construya una página web, una aplicación web, o un híbrido, hacerlo bien importa. La velocidad, el rendimiento móvil, el diseño accesible y una experiencia de usuario clara no son extras. Son la base mínima.</w:t>
      </w:r>
    </w:p>
    <w:p>
      <w:pPr>
        <w:pStyle w:val="Heading2"/>
        <w:spacing w:before="280" w:after="160"/>
      </w:pPr>
      <w:r>
        <w:rPr>
          <w:rFonts w:ascii="Arial" w:cs="Arial" w:eastAsia="Arial" w:hAnsi="Arial"/>
          <w:b/>
          <w:bCs/>
          <w:color w:val="1A1A2E"/>
          <w:sz w:val="26"/>
          <w:szCs w:val="26"/>
        </w:rPr>
        <w:t xml:space="preserve">¿Listo para dar el siguiente paso?</w:t>
      </w:r>
    </w:p>
    <w:p>
      <w:pPr>
        <w:spacing w:after="160" w:line="300"/>
      </w:pPr>
      <w:r>
        <w:rPr>
          <w:rFonts w:ascii="Arial" w:cs="Arial" w:eastAsia="Arial" w:hAnsi="Arial"/>
          <w:color w:val="333333"/>
          <w:sz w:val="22"/>
          <w:szCs w:val="22"/>
        </w:rPr>
        <w:t xml:space="preserve">Huracán Studios LLC ayuda a organizaciones a construir páginas web y aplicaciones web accesibles y de alto rendimiento. Trabajamos en salud, educación, gobierno, organizaciones sin fines de lucro, servicios profesionales, SaaS y ventas, entregando soluciones en inglés y español.</w:t>
      </w:r>
    </w:p>
    <w:p>
      <w:pPr>
        <w:spacing w:after="160" w:line="300"/>
      </w:pPr>
      <w:r>
        <w:rPr>
          <w:rFonts w:ascii="Arial" w:cs="Arial" w:eastAsia="Arial" w:hAnsi="Arial"/>
          <w:b/>
          <w:bCs/>
          <w:color w:val="333333"/>
          <w:sz w:val="22"/>
          <w:szCs w:val="22"/>
        </w:rPr>
        <w:t xml:space="preserve">Comience con una consulta gratis. </w:t>
      </w:r>
      <w:r>
        <w:rPr>
          <w:rFonts w:ascii="Arial" w:cs="Arial" w:eastAsia="Arial" w:hAnsi="Arial"/>
          <w:color w:val="333333"/>
          <w:sz w:val="22"/>
          <w:szCs w:val="22"/>
        </w:rPr>
        <w:t xml:space="preserve">Le ayudaremos a evaluar dónde se encuentra, determinar qué necesita y construir un plan que se ajuste a su presupuesto y metas.</w:t>
      </w:r>
    </w:p>
    <w:p>
      <w:pPr>
        <w:spacing w:after="160" w:line="300"/>
      </w:pPr>
      <w:r>
        <w:rPr>
          <w:rFonts w:ascii="Arial" w:cs="Arial" w:eastAsia="Arial" w:hAnsi="Arial"/>
          <w:color w:val="333333"/>
          <w:sz w:val="22"/>
          <w:szCs w:val="22"/>
        </w:rPr>
        <w:t xml:space="preserve">Visite huracanstudiosllc.com/contact o envíenos un correo electrónico para comenzar.</w:t>
      </w:r>
    </w:p>
    <w:p>
      <w:r>
        <w:br w:type="page"/>
      </w:r>
    </w:p>
    <w:p>
      <w:pPr>
        <w:pStyle w:val="Heading1"/>
        <w:spacing w:before="360" w:after="200"/>
      </w:pPr>
      <w:r>
        <w:rPr>
          <w:rFonts w:ascii="Arial" w:cs="Arial" w:eastAsia="Arial" w:hAnsi="Arial"/>
          <w:b/>
          <w:bCs/>
          <w:color w:val="1A1A2E"/>
          <w:sz w:val="32"/>
          <w:szCs w:val="32"/>
        </w:rPr>
        <w:t xml:space="preserve">Referencias</w:t>
      </w:r>
    </w:p>
    <w:p>
      <w:pPr>
        <w:spacing w:after="80"/>
      </w:pPr>
      <w:r>
        <w:rPr>
          <w:rFonts w:ascii="Arial" w:cs="Arial" w:eastAsia="Arial" w:hAnsi="Arial"/>
          <w:color w:val="333333"/>
          <w:sz w:val="18"/>
          <w:szCs w:val="18"/>
        </w:rPr>
        <w:t xml:space="preserve">[1] Zippia, "Small Business Website Statistics," 2023.</w:t>
      </w:r>
    </w:p>
    <w:p>
      <w:pPr>
        <w:spacing w:after="80"/>
      </w:pPr>
      <w:r>
        <w:rPr>
          <w:rFonts w:ascii="Arial" w:cs="Arial" w:eastAsia="Arial" w:hAnsi="Arial"/>
          <w:color w:val="333333"/>
          <w:sz w:val="18"/>
          <w:szCs w:val="18"/>
        </w:rPr>
        <w:t xml:space="preserve">[2] Forbes Advisor, "Website Statistics 2024."</w:t>
      </w:r>
    </w:p>
    <w:p>
      <w:pPr>
        <w:spacing w:after="80"/>
      </w:pPr>
      <w:r>
        <w:rPr>
          <w:rFonts w:ascii="Arial" w:cs="Arial" w:eastAsia="Arial" w:hAnsi="Arial"/>
          <w:color w:val="333333"/>
          <w:sz w:val="18"/>
          <w:szCs w:val="18"/>
        </w:rPr>
        <w:t xml:space="preserve">[3] Stanford Web Credibility Research Project, Stanford University.</w:t>
      </w:r>
    </w:p>
    <w:p>
      <w:pPr>
        <w:spacing w:after="80"/>
      </w:pPr>
      <w:r>
        <w:rPr>
          <w:rFonts w:ascii="Arial" w:cs="Arial" w:eastAsia="Arial" w:hAnsi="Arial"/>
          <w:color w:val="333333"/>
          <w:sz w:val="18"/>
          <w:szCs w:val="18"/>
        </w:rPr>
        <w:t xml:space="preserve">[4] Google/Universidad de Basel, "The Role of Visual Complexity and Prototypicality," 2012.</w:t>
      </w:r>
    </w:p>
    <w:p>
      <w:pPr>
        <w:spacing w:after="80"/>
      </w:pPr>
      <w:r>
        <w:rPr>
          <w:rFonts w:ascii="Arial" w:cs="Arial" w:eastAsia="Arial" w:hAnsi="Arial"/>
          <w:color w:val="333333"/>
          <w:sz w:val="18"/>
          <w:szCs w:val="18"/>
        </w:rPr>
        <w:t xml:space="preserve">[5] Verisign, "The Verisign Domain Name Industry Brief," 2023.</w:t>
      </w:r>
    </w:p>
    <w:p>
      <w:pPr>
        <w:spacing w:after="80"/>
      </w:pPr>
      <w:r>
        <w:rPr>
          <w:rFonts w:ascii="Arial" w:cs="Arial" w:eastAsia="Arial" w:hAnsi="Arial"/>
          <w:color w:val="333333"/>
          <w:sz w:val="18"/>
          <w:szCs w:val="18"/>
        </w:rPr>
        <w:t xml:space="preserve">[6] Statista, "Share of Mobile Internet Traffic Worldwide," 2025.</w:t>
      </w:r>
    </w:p>
    <w:p>
      <w:pPr>
        <w:spacing w:after="80"/>
      </w:pPr>
      <w:r>
        <w:rPr>
          <w:rFonts w:ascii="Arial" w:cs="Arial" w:eastAsia="Arial" w:hAnsi="Arial"/>
          <w:color w:val="333333"/>
          <w:sz w:val="18"/>
          <w:szCs w:val="18"/>
        </w:rPr>
        <w:t xml:space="preserve">[7] Google, "Mobile Page Speed Benchmarks," 2023.</w:t>
      </w:r>
    </w:p>
    <w:p>
      <w:pPr>
        <w:spacing w:after="80"/>
      </w:pPr>
      <w:r>
        <w:rPr>
          <w:rFonts w:ascii="Arial" w:cs="Arial" w:eastAsia="Arial" w:hAnsi="Arial"/>
          <w:color w:val="333333"/>
          <w:sz w:val="18"/>
          <w:szCs w:val="18"/>
        </w:rPr>
        <w:t xml:space="preserve">[8] Deloitte, "Connected Small Businesses in the United States," 2023.</w:t>
      </w:r>
    </w:p>
    <w:p>
      <w:pPr>
        <w:spacing w:after="80"/>
      </w:pPr>
      <w:r>
        <w:rPr>
          <w:rFonts w:ascii="Arial" w:cs="Arial" w:eastAsia="Arial" w:hAnsi="Arial"/>
          <w:color w:val="333333"/>
          <w:sz w:val="18"/>
          <w:szCs w:val="18"/>
        </w:rPr>
        <w:t xml:space="preserve">[9] Mordor Intelligence, "Web Development Services Market," 2024.</w:t>
      </w:r>
    </w:p>
    <w:p>
      <w:pPr>
        <w:spacing w:after="80"/>
      </w:pPr>
      <w:r>
        <w:rPr>
          <w:rFonts w:ascii="Arial" w:cs="Arial" w:eastAsia="Arial" w:hAnsi="Arial"/>
          <w:color w:val="333333"/>
          <w:sz w:val="18"/>
          <w:szCs w:val="18"/>
        </w:rPr>
        <w:t xml:space="preserve">[10] Straits Research, "Progressive Web Apps Market," 2024.</w:t>
      </w:r>
    </w:p>
    <w:p>
      <w:pPr>
        <w:spacing w:after="80"/>
      </w:pPr>
      <w:r>
        <w:rPr>
          <w:rFonts w:ascii="Arial" w:cs="Arial" w:eastAsia="Arial" w:hAnsi="Arial"/>
          <w:color w:val="333333"/>
          <w:sz w:val="18"/>
          <w:szCs w:val="18"/>
        </w:rPr>
        <w:t xml:space="preserve">[11] Adobe Analytics, "E-Commerce Conversion Benchmarks," 2025.</w:t>
      </w:r>
    </w:p>
    <w:p>
      <w:pPr>
        <w:spacing w:after="80"/>
      </w:pPr>
      <w:r>
        <w:rPr>
          <w:rFonts w:ascii="Arial" w:cs="Arial" w:eastAsia="Arial" w:hAnsi="Arial"/>
          <w:color w:val="333333"/>
          <w:sz w:val="18"/>
          <w:szCs w:val="18"/>
        </w:rPr>
        <w:t xml:space="preserve">[12] Speed Commerce, "E-Commerce Benchmarks," 2025.</w:t>
      </w:r>
    </w:p>
    <w:p>
      <w:pPr>
        <w:spacing w:after="80"/>
      </w:pPr>
      <w:r>
        <w:rPr>
          <w:rFonts w:ascii="Arial" w:cs="Arial" w:eastAsia="Arial" w:hAnsi="Arial"/>
          <w:color w:val="333333"/>
          <w:sz w:val="18"/>
          <w:szCs w:val="18"/>
        </w:rPr>
        <w:t xml:space="preserve">[13] Baymard Institute, "Cart Abandonment Rate Statistics," 2025.</w:t>
      </w:r>
    </w:p>
    <w:p>
      <w:pPr>
        <w:spacing w:after="80"/>
      </w:pPr>
      <w:r>
        <w:rPr>
          <w:rFonts w:ascii="Arial" w:cs="Arial" w:eastAsia="Arial" w:hAnsi="Arial"/>
          <w:color w:val="333333"/>
          <w:sz w:val="18"/>
          <w:szCs w:val="18"/>
        </w:rPr>
        <w:t xml:space="preserve">[14] Fortune Business Insights, "SaaS Market Size and Share Report," 2025.</w:t>
      </w:r>
    </w:p>
    <w:p>
      <w:pPr>
        <w:spacing w:after="80"/>
      </w:pPr>
      <w:r>
        <w:rPr>
          <w:rFonts w:ascii="Arial" w:cs="Arial" w:eastAsia="Arial" w:hAnsi="Arial"/>
          <w:color w:val="333333"/>
          <w:sz w:val="18"/>
          <w:szCs w:val="18"/>
        </w:rPr>
        <w:t xml:space="preserve">[15] ONC/ASTP, "Patient Portals and Smartphone Health Apps," 2024.</w:t>
      </w:r>
    </w:p>
    <w:p>
      <w:pPr>
        <w:spacing w:after="80"/>
      </w:pPr>
      <w:r>
        <w:rPr>
          <w:rFonts w:ascii="Arial" w:cs="Arial" w:eastAsia="Arial" w:hAnsi="Arial"/>
          <w:color w:val="333333"/>
          <w:sz w:val="18"/>
          <w:szCs w:val="18"/>
        </w:rPr>
        <w:t xml:space="preserve">[16] Grand View Research, "Learning Management System Market," 2024.</w:t>
      </w:r>
    </w:p>
    <w:p>
      <w:pPr>
        <w:spacing w:after="80"/>
      </w:pPr>
      <w:r>
        <w:rPr>
          <w:rFonts w:ascii="Arial" w:cs="Arial" w:eastAsia="Arial" w:hAnsi="Arial"/>
          <w:color w:val="333333"/>
          <w:sz w:val="18"/>
          <w:szCs w:val="18"/>
        </w:rPr>
        <w:t xml:space="preserve">[17] Phil Hill (Edutechnica), "LMS Market Share Data," 2024.</w:t>
      </w:r>
    </w:p>
    <w:p>
      <w:pPr>
        <w:spacing w:after="80"/>
      </w:pPr>
      <w:r>
        <w:rPr>
          <w:rFonts w:ascii="Arial" w:cs="Arial" w:eastAsia="Arial" w:hAnsi="Arial"/>
          <w:color w:val="333333"/>
          <w:sz w:val="18"/>
          <w:szCs w:val="18"/>
        </w:rPr>
        <w:t xml:space="preserve">[18] BetterCloud, "State of SaaSOps Report," 2025.</w:t>
      </w:r>
    </w:p>
    <w:p>
      <w:pPr>
        <w:spacing w:after="80"/>
      </w:pPr>
      <w:r>
        <w:rPr>
          <w:rFonts w:ascii="Arial" w:cs="Arial" w:eastAsia="Arial" w:hAnsi="Arial"/>
          <w:color w:val="333333"/>
          <w:sz w:val="18"/>
          <w:szCs w:val="18"/>
        </w:rPr>
        <w:t xml:space="preserve">[19] M+R Benchmarks, "Nonprofit Benchmarks Study," 2025.</w:t>
      </w:r>
    </w:p>
    <w:p>
      <w:pPr>
        <w:spacing w:after="80"/>
      </w:pPr>
      <w:r>
        <w:rPr>
          <w:rFonts w:ascii="Arial" w:cs="Arial" w:eastAsia="Arial" w:hAnsi="Arial"/>
          <w:color w:val="333333"/>
          <w:sz w:val="18"/>
          <w:szCs w:val="18"/>
        </w:rPr>
        <w:t xml:space="preserve">[20] NPTrust, "Charitable Giving Statistics," 2024.</w:t>
      </w:r>
    </w:p>
    <w:p>
      <w:pPr>
        <w:spacing w:after="80"/>
      </w:pPr>
      <w:r>
        <w:rPr>
          <w:rFonts w:ascii="Arial" w:cs="Arial" w:eastAsia="Arial" w:hAnsi="Arial"/>
          <w:color w:val="333333"/>
          <w:sz w:val="18"/>
          <w:szCs w:val="18"/>
        </w:rPr>
        <w:t xml:space="preserve">[21] GivingTuesday, "2024 Results Report."</w:t>
      </w:r>
    </w:p>
    <w:p>
      <w:pPr>
        <w:spacing w:after="80"/>
      </w:pPr>
      <w:r>
        <w:rPr>
          <w:rFonts w:ascii="Arial" w:cs="Arial" w:eastAsia="Arial" w:hAnsi="Arial"/>
          <w:color w:val="333333"/>
          <w:sz w:val="18"/>
          <w:szCs w:val="18"/>
        </w:rPr>
        <w:t xml:space="preserve">[22] WebAIM, "The WebAIM Million Annual Report," 2025.</w:t>
      </w:r>
    </w:p>
    <w:p>
      <w:pPr>
        <w:spacing w:after="80"/>
      </w:pPr>
      <w:r>
        <w:rPr>
          <w:rFonts w:ascii="Arial" w:cs="Arial" w:eastAsia="Arial" w:hAnsi="Arial"/>
          <w:color w:val="333333"/>
          <w:sz w:val="18"/>
          <w:szCs w:val="18"/>
        </w:rPr>
        <w:t xml:space="preserve">[23] UsableNet, "ADA Digital Accessibility Lawsuits Report," 2024.</w:t>
      </w:r>
    </w:p>
    <w:p>
      <w:pPr>
        <w:spacing w:after="80"/>
      </w:pPr>
      <w:r>
        <w:rPr>
          <w:rFonts w:ascii="Arial" w:cs="Arial" w:eastAsia="Arial" w:hAnsi="Arial"/>
          <w:color w:val="333333"/>
          <w:sz w:val="18"/>
          <w:szCs w:val="18"/>
        </w:rPr>
        <w:t xml:space="preserve">[24] CDC, "Disability Impacts All of Us," 2023.</w:t>
      </w:r>
    </w:p>
    <w:p>
      <w:pPr>
        <w:spacing w:after="80"/>
      </w:pPr>
      <w:r>
        <w:rPr>
          <w:rFonts w:ascii="Arial" w:cs="Arial" w:eastAsia="Arial" w:hAnsi="Arial"/>
          <w:color w:val="333333"/>
          <w:sz w:val="18"/>
          <w:szCs w:val="18"/>
        </w:rPr>
        <w:t xml:space="preserve">[25] Forrester Research, "The ROI of UX Design."</w:t>
      </w:r>
    </w:p>
    <w:p>
      <w:pPr>
        <w:spacing w:after="80"/>
      </w:pPr>
      <w:r>
        <w:rPr>
          <w:rFonts w:ascii="Arial" w:cs="Arial" w:eastAsia="Arial" w:hAnsi="Arial"/>
          <w:color w:val="333333"/>
          <w:sz w:val="18"/>
          <w:szCs w:val="18"/>
        </w:rPr>
        <w:t xml:space="preserve">[26] Markets and Markets, "Digital Transformation Market," 2025.</w:t>
      </w:r>
    </w:p>
    <w:p>
      <w:pPr>
        <w:spacing w:after="80"/>
      </w:pPr>
      <w:r>
        <w:rPr>
          <w:rFonts w:ascii="Arial" w:cs="Arial" w:eastAsia="Arial" w:hAnsi="Arial"/>
          <w:color w:val="333333"/>
          <w:sz w:val="18"/>
          <w:szCs w:val="18"/>
        </w:rPr>
        <w:t xml:space="preserve">[27] DevSquad, "SaaS Statistics," 2025.</w:t>
      </w:r>
    </w:p>
    <w:p>
      <w:pPr>
        <w:spacing w:after="80"/>
      </w:pPr>
      <w:r>
        <w:rPr>
          <w:rFonts w:ascii="Arial" w:cs="Arial" w:eastAsia="Arial" w:hAnsi="Arial"/>
          <w:color w:val="333333"/>
          <w:sz w:val="18"/>
          <w:szCs w:val="18"/>
        </w:rPr>
        <w:t xml:space="preserve">[28] IRP Commerce / Dynamic Yield, "E-Commerce Benchmarks by Sector," 2025.</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333333"/>
        <w:sz w:val="16"/>
        <w:szCs w:val="16"/>
      </w:rPr>
      <w:t xml:space="preserve">Página </w:t>
    </w:r>
    <w:r>
      <w:rPr>
        <w:rFonts w:ascii="Arial" w:cs="Arial" w:eastAsia="Arial" w:hAnsi="Arial"/>
        <w:color w:val="33333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133FF" w:sz="4" w:space="1"/>
      </w:pBdr>
      <w:tabs>
        <w:tab w:val="right" w:pos="9026"/>
      </w:tabs>
    </w:pPr>
    <w:r>
      <w:rPr>
        <w:rFonts w:ascii="Arial" w:cs="Arial" w:eastAsia="Arial" w:hAnsi="Arial"/>
        <w:b/>
        <w:bCs/>
        <w:color w:val="C133FF"/>
        <w:sz w:val="16"/>
        <w:szCs w:val="16"/>
      </w:rPr>
      <w:t xml:space="preserve">Huracán Studios LLC</w:t>
    </w:r>
    <w:r>
      <w:rPr>
        <w:rFonts w:ascii="Arial" w:cs="Arial" w:eastAsia="Arial" w:hAnsi="Arial"/>
        <w:i/>
        <w:iCs/>
        <w:color w:val="333333"/>
        <w:sz w:val="16"/>
        <w:szCs w:val="16"/>
      </w:rPr>
      <w:t xml:space="preserve">	Página Web o Aplicación Web: ¿Cuál necesita su organización?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1A1A2E"/>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2026-03-31T14:49:37.322Z</dcterms:created>
  <dcterms:modified xsi:type="dcterms:W3CDTF">2026-03-31T14:49:37.323Z</dcterms:modified>
</cp:coreProperties>
</file>

<file path=docProps/custom.xml><?xml version="1.0" encoding="utf-8"?>
<Properties xmlns="http://schemas.openxmlformats.org/officeDocument/2006/custom-properties" xmlns:vt="http://schemas.openxmlformats.org/officeDocument/2006/docPropsVTypes"/>
</file>